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80F20" w:rsidRPr="00180F20" w:rsidRDefault="00180F20" w:rsidP="00180F20">
      <w:pPr>
        <w:jc w:val="center"/>
        <w:rPr>
          <w:b/>
          <w:lang w:val="en-US"/>
        </w:rPr>
      </w:pPr>
      <w:r w:rsidRPr="00180F20">
        <w:rPr>
          <w:b/>
          <w:lang w:val="en-US"/>
        </w:rPr>
        <w:t>INSTRUCTION</w:t>
      </w:r>
    </w:p>
    <w:p w:rsidR="00180F20" w:rsidRPr="00180F20" w:rsidRDefault="00180F20" w:rsidP="00180F20">
      <w:pPr>
        <w:jc w:val="center"/>
        <w:rPr>
          <w:lang w:val="en-US"/>
        </w:rPr>
      </w:pPr>
      <w:r w:rsidRPr="00180F20">
        <w:rPr>
          <w:lang w:val="en-US"/>
        </w:rPr>
        <w:t>on medical use of the drug</w:t>
      </w:r>
    </w:p>
    <w:p w:rsidR="00180F20" w:rsidRPr="00180F20" w:rsidRDefault="00180F20" w:rsidP="00180F20">
      <w:pPr>
        <w:jc w:val="center"/>
        <w:rPr>
          <w:lang w:val="en-US"/>
        </w:rPr>
      </w:pPr>
      <w:proofErr w:type="spellStart"/>
      <w:r w:rsidRPr="00180F20">
        <w:rPr>
          <w:lang w:val="en-US"/>
        </w:rPr>
        <w:t>Pentalgin</w:t>
      </w:r>
      <w:proofErr w:type="spellEnd"/>
      <w:r w:rsidRPr="00180F20">
        <w:rPr>
          <w:lang w:val="en-US"/>
        </w:rPr>
        <w:t>-N</w:t>
      </w:r>
    </w:p>
    <w:p w:rsidR="00180F20" w:rsidRPr="00180F20" w:rsidRDefault="00180F20" w:rsidP="00180F20">
      <w:pPr>
        <w:rPr>
          <w:lang w:val="en-US"/>
        </w:rPr>
      </w:pPr>
    </w:p>
    <w:p w:rsidR="00180F20" w:rsidRPr="00180F20" w:rsidRDefault="00180F20" w:rsidP="00180F20">
      <w:pPr>
        <w:rPr>
          <w:lang w:val="en-US"/>
        </w:rPr>
      </w:pPr>
      <w:r w:rsidRPr="00180F20">
        <w:rPr>
          <w:b/>
          <w:lang w:val="en-US"/>
        </w:rPr>
        <w:t>Registration number</w:t>
      </w:r>
      <w:r w:rsidRPr="00180F20">
        <w:rPr>
          <w:lang w:val="en-US"/>
        </w:rPr>
        <w:t>: LS-002271</w:t>
      </w:r>
    </w:p>
    <w:p w:rsidR="00180F20" w:rsidRPr="00180F20" w:rsidRDefault="00180F20" w:rsidP="00180F20">
      <w:pPr>
        <w:rPr>
          <w:lang w:val="en-US"/>
        </w:rPr>
      </w:pPr>
      <w:r w:rsidRPr="00180F20">
        <w:rPr>
          <w:b/>
          <w:lang w:val="en-US"/>
        </w:rPr>
        <w:t>Trade name of the drug</w:t>
      </w:r>
      <w:r w:rsidRPr="00180F20">
        <w:rPr>
          <w:lang w:val="en-US"/>
        </w:rPr>
        <w:t xml:space="preserve">: </w:t>
      </w:r>
      <w:proofErr w:type="spellStart"/>
      <w:r w:rsidRPr="00180F20">
        <w:rPr>
          <w:lang w:val="en-US"/>
        </w:rPr>
        <w:t>Pentalgin</w:t>
      </w:r>
      <w:proofErr w:type="spellEnd"/>
      <w:r w:rsidRPr="00180F20">
        <w:rPr>
          <w:lang w:val="en-US"/>
        </w:rPr>
        <w:t>-N</w:t>
      </w:r>
    </w:p>
    <w:p w:rsidR="00180F20" w:rsidRPr="00180F20" w:rsidRDefault="00180F20" w:rsidP="00180F20">
      <w:pPr>
        <w:rPr>
          <w:lang w:val="en-US"/>
        </w:rPr>
      </w:pPr>
      <w:r w:rsidRPr="00180F20">
        <w:rPr>
          <w:b/>
          <w:lang w:val="en-US"/>
        </w:rPr>
        <w:t>Dosage form</w:t>
      </w:r>
      <w:r w:rsidRPr="00180F20">
        <w:rPr>
          <w:lang w:val="en-US"/>
        </w:rPr>
        <w:t>: tablets</w:t>
      </w:r>
    </w:p>
    <w:p w:rsidR="00180F20" w:rsidRPr="00180F20" w:rsidRDefault="00180F20" w:rsidP="00180F20">
      <w:pPr>
        <w:rPr>
          <w:lang w:val="en-US"/>
        </w:rPr>
      </w:pPr>
      <w:r w:rsidRPr="00180F20">
        <w:rPr>
          <w:b/>
          <w:lang w:val="en-US"/>
        </w:rPr>
        <w:t>Description</w:t>
      </w:r>
      <w:r>
        <w:rPr>
          <w:lang w:val="en-US"/>
        </w:rPr>
        <w:t xml:space="preserve">: </w:t>
      </w:r>
      <w:r w:rsidRPr="00180F20">
        <w:rPr>
          <w:lang w:val="en-US"/>
        </w:rPr>
        <w:t>whi</w:t>
      </w:r>
      <w:r>
        <w:rPr>
          <w:lang w:val="en-US"/>
        </w:rPr>
        <w:t xml:space="preserve">te or white with a yellowish </w:t>
      </w:r>
      <w:r w:rsidRPr="00180F20">
        <w:rPr>
          <w:lang w:val="en-US"/>
        </w:rPr>
        <w:t>shade</w:t>
      </w:r>
      <w:r w:rsidRPr="00180F20">
        <w:rPr>
          <w:lang w:val="en-US"/>
        </w:rPr>
        <w:t xml:space="preserve"> color</w:t>
      </w:r>
      <w:r>
        <w:rPr>
          <w:lang w:val="en-US"/>
        </w:rPr>
        <w:t xml:space="preserve"> tablets</w:t>
      </w:r>
      <w:r w:rsidRPr="00180F20">
        <w:rPr>
          <w:lang w:val="en-US"/>
        </w:rPr>
        <w:t>,</w:t>
      </w:r>
      <w:r>
        <w:rPr>
          <w:lang w:val="en-US"/>
        </w:rPr>
        <w:t xml:space="preserve"> </w:t>
      </w:r>
      <w:r w:rsidRPr="00180F20">
        <w:rPr>
          <w:lang w:val="en-US"/>
        </w:rPr>
        <w:t xml:space="preserve">flat </w:t>
      </w:r>
      <w:proofErr w:type="gramStart"/>
      <w:r w:rsidRPr="00180F20">
        <w:rPr>
          <w:lang w:val="en-US"/>
        </w:rPr>
        <w:t xml:space="preserve">cylindrical </w:t>
      </w:r>
      <w:r w:rsidRPr="00180F20">
        <w:rPr>
          <w:lang w:val="en-US"/>
        </w:rPr>
        <w:t>.</w:t>
      </w:r>
      <w:proofErr w:type="gramEnd"/>
      <w:r w:rsidRPr="00180F20">
        <w:rPr>
          <w:lang w:val="en-US"/>
        </w:rPr>
        <w:t xml:space="preserve"> On one side of the tablet by embossing applied abbreviated name</w:t>
      </w:r>
      <w:r>
        <w:rPr>
          <w:lang w:val="en-US"/>
        </w:rPr>
        <w:t xml:space="preserve"> of</w:t>
      </w:r>
    </w:p>
    <w:p w:rsidR="00180F20" w:rsidRPr="00180F20" w:rsidRDefault="00180F20" w:rsidP="00180F20">
      <w:pPr>
        <w:rPr>
          <w:lang w:val="en-US"/>
        </w:rPr>
      </w:pPr>
      <w:r>
        <w:rPr>
          <w:lang w:val="en-US"/>
        </w:rPr>
        <w:t>drug</w:t>
      </w:r>
      <w:r w:rsidRPr="00180F20">
        <w:rPr>
          <w:lang w:val="en-US"/>
        </w:rPr>
        <w:t xml:space="preserve"> "C-N".</w:t>
      </w:r>
    </w:p>
    <w:p w:rsidR="00180F20" w:rsidRPr="00180F20" w:rsidRDefault="00180F20" w:rsidP="00180F20">
      <w:pPr>
        <w:rPr>
          <w:lang w:val="en-US"/>
        </w:rPr>
      </w:pPr>
      <w:r w:rsidRPr="00180F20">
        <w:rPr>
          <w:b/>
          <w:lang w:val="en-US"/>
        </w:rPr>
        <w:t>Composition</w:t>
      </w:r>
      <w:r w:rsidRPr="00180F20">
        <w:rPr>
          <w:lang w:val="en-US"/>
        </w:rPr>
        <w:t>: one tablet contains:</w:t>
      </w:r>
    </w:p>
    <w:p w:rsidR="00180F20" w:rsidRPr="00180F20" w:rsidRDefault="00180F20" w:rsidP="00180F20">
      <w:pPr>
        <w:rPr>
          <w:lang w:val="en-US"/>
        </w:rPr>
      </w:pPr>
      <w:r w:rsidRPr="00180F20">
        <w:rPr>
          <w:i/>
          <w:lang w:val="en-US"/>
        </w:rPr>
        <w:t>active ingredients</w:t>
      </w:r>
      <w:r w:rsidRPr="00180F20">
        <w:rPr>
          <w:lang w:val="en-US"/>
        </w:rPr>
        <w:t xml:space="preserve">: </w:t>
      </w:r>
      <w:proofErr w:type="spellStart"/>
      <w:r w:rsidRPr="00180F20">
        <w:rPr>
          <w:lang w:val="en-US"/>
        </w:rPr>
        <w:t>analgin</w:t>
      </w:r>
      <w:proofErr w:type="spellEnd"/>
      <w:r w:rsidRPr="00180F20">
        <w:rPr>
          <w:lang w:val="en-US"/>
        </w:rPr>
        <w:t xml:space="preserve"> (</w:t>
      </w:r>
      <w:proofErr w:type="spellStart"/>
      <w:r w:rsidRPr="00180F20">
        <w:rPr>
          <w:lang w:val="en-US"/>
        </w:rPr>
        <w:t>Metamizole</w:t>
      </w:r>
      <w:proofErr w:type="spellEnd"/>
      <w:r w:rsidRPr="00180F20">
        <w:rPr>
          <w:lang w:val="en-US"/>
        </w:rPr>
        <w:t xml:space="preserve"> sodium) - 300 mg, naproxen-100mg, phenobarbital-10mg, caffeine-50 mg, codeine or codeine phosphate in terms of codeine-8 mg;</w:t>
      </w:r>
    </w:p>
    <w:p w:rsidR="00180F20" w:rsidRPr="00180F20" w:rsidRDefault="00180F20" w:rsidP="00180F20">
      <w:pPr>
        <w:rPr>
          <w:lang w:val="en-US"/>
        </w:rPr>
      </w:pPr>
      <w:r w:rsidRPr="00180F20">
        <w:rPr>
          <w:i/>
          <w:lang w:val="en-US"/>
        </w:rPr>
        <w:t>excipients</w:t>
      </w:r>
      <w:r w:rsidRPr="00180F20">
        <w:rPr>
          <w:lang w:val="en-US"/>
        </w:rPr>
        <w:t xml:space="preserve">: potato starch, </w:t>
      </w:r>
      <w:proofErr w:type="spellStart"/>
      <w:r w:rsidRPr="00180F20">
        <w:rPr>
          <w:lang w:val="en-US"/>
        </w:rPr>
        <w:t>polyvinylpyrrolidone</w:t>
      </w:r>
      <w:proofErr w:type="spellEnd"/>
      <w:r w:rsidRPr="00180F20">
        <w:rPr>
          <w:lang w:val="en-US"/>
        </w:rPr>
        <w:t xml:space="preserve"> low molecular weight (povidone), sodium citrate, magnesium stearate.</w:t>
      </w:r>
    </w:p>
    <w:p w:rsidR="00180F20" w:rsidRPr="00180F20" w:rsidRDefault="00180F20" w:rsidP="00180F20">
      <w:pPr>
        <w:rPr>
          <w:lang w:val="en-US"/>
        </w:rPr>
      </w:pPr>
      <w:proofErr w:type="spellStart"/>
      <w:r w:rsidRPr="00180F20">
        <w:rPr>
          <w:b/>
          <w:lang w:val="en-US"/>
        </w:rPr>
        <w:t>Pharmacotherapeutic</w:t>
      </w:r>
      <w:proofErr w:type="spellEnd"/>
      <w:r w:rsidRPr="00180F20">
        <w:rPr>
          <w:b/>
          <w:lang w:val="en-US"/>
        </w:rPr>
        <w:t xml:space="preserve"> group</w:t>
      </w:r>
      <w:r w:rsidRPr="00180F20">
        <w:rPr>
          <w:lang w:val="en-US"/>
        </w:rPr>
        <w:t>: analgesic agent (analgesic opioid + non-steroidal anti-inflammatory agent + psychostimulant + barbiturate)</w:t>
      </w:r>
    </w:p>
    <w:p w:rsidR="00180F20" w:rsidRPr="00180F20" w:rsidRDefault="00180F20" w:rsidP="00180F20">
      <w:pPr>
        <w:rPr>
          <w:b/>
          <w:lang w:val="en-US"/>
        </w:rPr>
      </w:pPr>
      <w:r w:rsidRPr="00180F20">
        <w:rPr>
          <w:b/>
          <w:lang w:val="en-US"/>
        </w:rPr>
        <w:t>Pharmacological action</w:t>
      </w:r>
    </w:p>
    <w:p w:rsidR="00180F20" w:rsidRPr="00180F20" w:rsidRDefault="00180F20" w:rsidP="00180F20">
      <w:pPr>
        <w:rPr>
          <w:lang w:val="en-US"/>
        </w:rPr>
      </w:pPr>
      <w:r w:rsidRPr="00180F20">
        <w:rPr>
          <w:lang w:val="en-US"/>
        </w:rPr>
        <w:t>Combined drug, has analgesic, anti-inflammatory and antipyretic effect.</w:t>
      </w:r>
    </w:p>
    <w:p w:rsidR="00180F20" w:rsidRPr="00180F20" w:rsidRDefault="00180F20" w:rsidP="00180F20">
      <w:pPr>
        <w:rPr>
          <w:lang w:val="en-US"/>
        </w:rPr>
      </w:pPr>
      <w:r w:rsidRPr="00180F20">
        <w:rPr>
          <w:lang w:val="en-US"/>
        </w:rPr>
        <w:t xml:space="preserve">Naproxen and </w:t>
      </w:r>
      <w:proofErr w:type="spellStart"/>
      <w:r w:rsidRPr="00180F20">
        <w:rPr>
          <w:lang w:val="en-US"/>
        </w:rPr>
        <w:t>Metamizole</w:t>
      </w:r>
      <w:proofErr w:type="spellEnd"/>
      <w:r w:rsidRPr="00180F20">
        <w:rPr>
          <w:lang w:val="en-US"/>
        </w:rPr>
        <w:t xml:space="preserve"> sodium-have analgesic and anti-inflammatory effects.</w:t>
      </w:r>
    </w:p>
    <w:p w:rsidR="00180F20" w:rsidRPr="00180F20" w:rsidRDefault="00180F20" w:rsidP="00180F20">
      <w:pPr>
        <w:rPr>
          <w:lang w:val="en-US"/>
        </w:rPr>
      </w:pPr>
      <w:r w:rsidRPr="00180F20">
        <w:rPr>
          <w:lang w:val="en-US"/>
        </w:rPr>
        <w:t xml:space="preserve">Codeine stimulates opiate receptors in various parts of the Central nervous system, which leads to the activation of the </w:t>
      </w:r>
      <w:proofErr w:type="spellStart"/>
      <w:r w:rsidRPr="00180F20">
        <w:rPr>
          <w:lang w:val="en-US"/>
        </w:rPr>
        <w:t>antinociceptive</w:t>
      </w:r>
      <w:proofErr w:type="spellEnd"/>
      <w:r w:rsidRPr="00180F20">
        <w:rPr>
          <w:lang w:val="en-US"/>
        </w:rPr>
        <w:t xml:space="preserve"> system and changes in the emotional perception of pain.</w:t>
      </w:r>
    </w:p>
    <w:p w:rsidR="00180F20" w:rsidRPr="00180F20" w:rsidRDefault="00180F20" w:rsidP="00180F20">
      <w:pPr>
        <w:rPr>
          <w:lang w:val="en-US"/>
        </w:rPr>
      </w:pPr>
      <w:r w:rsidRPr="00180F20">
        <w:rPr>
          <w:lang w:val="en-US"/>
        </w:rPr>
        <w:t xml:space="preserve">Phenobarbital and codeine increases the analgesic efficacy of </w:t>
      </w:r>
      <w:proofErr w:type="spellStart"/>
      <w:r w:rsidRPr="00180F20">
        <w:rPr>
          <w:lang w:val="en-US"/>
        </w:rPr>
        <w:t>metamizol</w:t>
      </w:r>
      <w:proofErr w:type="spellEnd"/>
      <w:r w:rsidRPr="00180F20">
        <w:rPr>
          <w:lang w:val="en-US"/>
        </w:rPr>
        <w:t>-sodium and naproxen.</w:t>
      </w:r>
    </w:p>
    <w:p w:rsidR="00180F20" w:rsidRPr="00180F20" w:rsidRDefault="00180F20" w:rsidP="00180F20">
      <w:pPr>
        <w:rPr>
          <w:lang w:val="en-US"/>
        </w:rPr>
      </w:pPr>
      <w:r w:rsidRPr="00180F20">
        <w:rPr>
          <w:lang w:val="en-US"/>
        </w:rPr>
        <w:t xml:space="preserve">Caffeine causes the expansion of blood vessels of skeletal muscles, brain, heart, kidneys; improves mental and physical performance, helps to eliminate fatigue and drowsiness; increases the permeability of </w:t>
      </w:r>
      <w:proofErr w:type="spellStart"/>
      <w:r w:rsidRPr="00180F20">
        <w:rPr>
          <w:lang w:val="en-US"/>
        </w:rPr>
        <w:t>histohematical</w:t>
      </w:r>
      <w:proofErr w:type="spellEnd"/>
      <w:r w:rsidRPr="00180F20">
        <w:rPr>
          <w:lang w:val="en-US"/>
        </w:rPr>
        <w:t xml:space="preserve"> barriers and increases the bioavailability of non-narcotic analgesics, thereby contributing to the therapeutic effect.</w:t>
      </w:r>
    </w:p>
    <w:p w:rsidR="00180F20" w:rsidRPr="00180F20" w:rsidRDefault="00180F20" w:rsidP="00180F20">
      <w:pPr>
        <w:rPr>
          <w:b/>
          <w:lang w:val="en-US"/>
        </w:rPr>
      </w:pPr>
      <w:r w:rsidRPr="00180F20">
        <w:rPr>
          <w:b/>
          <w:lang w:val="en-US"/>
        </w:rPr>
        <w:t>Pharmacokinetics</w:t>
      </w:r>
    </w:p>
    <w:p w:rsidR="00180F20" w:rsidRPr="00180F20" w:rsidRDefault="00180F20" w:rsidP="00180F20">
      <w:pPr>
        <w:rPr>
          <w:lang w:val="en-US"/>
        </w:rPr>
      </w:pPr>
      <w:r w:rsidRPr="00180F20">
        <w:rPr>
          <w:lang w:val="en-US"/>
        </w:rPr>
        <w:t>The components of the drug are well absorbed in the gastrointestinal tract.</w:t>
      </w:r>
    </w:p>
    <w:p w:rsidR="00180F20" w:rsidRPr="00180F20" w:rsidRDefault="00180F20" w:rsidP="00180F20">
      <w:pPr>
        <w:rPr>
          <w:b/>
          <w:lang w:val="en-US"/>
        </w:rPr>
      </w:pPr>
      <w:r w:rsidRPr="00180F20">
        <w:rPr>
          <w:b/>
          <w:lang w:val="en-US"/>
        </w:rPr>
        <w:t>Indications for use</w:t>
      </w:r>
    </w:p>
    <w:p w:rsidR="00180F20" w:rsidRPr="00180F20" w:rsidRDefault="00180F20" w:rsidP="00180F20">
      <w:pPr>
        <w:rPr>
          <w:lang w:val="en-US"/>
        </w:rPr>
      </w:pPr>
      <w:r w:rsidRPr="00180F20">
        <w:rPr>
          <w:lang w:val="en-US"/>
        </w:rPr>
        <w:t xml:space="preserve">Take for weak and moderately expressed pain syndrome of different Genesis (including pain in joints, muscles, sciatica, menstrual pains, neuralgia and in headache, migraine, dental pain). It can be used in feverish conditions, colds and other diseases, accompanied by pain and inflammation phenomena. </w:t>
      </w:r>
    </w:p>
    <w:p w:rsidR="00180F20" w:rsidRPr="00180F20" w:rsidRDefault="00180F20" w:rsidP="00180F20">
      <w:pPr>
        <w:rPr>
          <w:b/>
          <w:lang w:val="en-US"/>
        </w:rPr>
      </w:pPr>
      <w:r w:rsidRPr="00180F20">
        <w:rPr>
          <w:b/>
          <w:lang w:val="en-US"/>
        </w:rPr>
        <w:t>Contraindications</w:t>
      </w:r>
    </w:p>
    <w:p w:rsidR="00180F20" w:rsidRPr="00180F20" w:rsidRDefault="00180F20" w:rsidP="00180F20">
      <w:pPr>
        <w:rPr>
          <w:lang w:val="en-US"/>
        </w:rPr>
      </w:pPr>
      <w:r w:rsidRPr="00180F20">
        <w:rPr>
          <w:lang w:val="en-US"/>
        </w:rPr>
        <w:t>Hypersensitivity, severe hepatic and / or renal failure, gastric and duodenal ulcer in the acute stage, asthma, bronchospasm. Conditions accompanied by respiratory depression. Deficiency of glucose-6-</w:t>
      </w:r>
      <w:r w:rsidRPr="00180F20">
        <w:rPr>
          <w:lang w:val="en-US"/>
        </w:rPr>
        <w:lastRenderedPageBreak/>
        <w:t>phosphate dehydrogenase; anemia, leukopenia; traumatic brain injury, acute myocardial infarction; arrhythmias, severe hypertension,</w:t>
      </w:r>
    </w:p>
    <w:p w:rsidR="00180F20" w:rsidRPr="00180F20" w:rsidRDefault="00180F20" w:rsidP="00180F20">
      <w:pPr>
        <w:rPr>
          <w:lang w:val="en-US"/>
        </w:rPr>
      </w:pPr>
      <w:r w:rsidRPr="00180F20">
        <w:rPr>
          <w:lang w:val="en-US"/>
        </w:rPr>
        <w:t>alcohol intoxication, glaucoma, children's age (up to 12 years).</w:t>
      </w:r>
    </w:p>
    <w:p w:rsidR="00180F20" w:rsidRPr="00180F20" w:rsidRDefault="00180F20" w:rsidP="00180F20">
      <w:pPr>
        <w:rPr>
          <w:lang w:val="en-US"/>
        </w:rPr>
      </w:pPr>
      <w:r w:rsidRPr="00180F20">
        <w:rPr>
          <w:i/>
          <w:lang w:val="en-US"/>
        </w:rPr>
        <w:t>With caution</w:t>
      </w:r>
      <w:r w:rsidRPr="00180F20">
        <w:rPr>
          <w:lang w:val="en-US"/>
        </w:rPr>
        <w:t>-peptic ulcer of the stomach and duodenum (in remission), old age, hypertension of mild and moderate severity.</w:t>
      </w:r>
    </w:p>
    <w:p w:rsidR="00180F20" w:rsidRPr="00180F20" w:rsidRDefault="00180F20" w:rsidP="00180F20">
      <w:pPr>
        <w:rPr>
          <w:lang w:val="en-US"/>
        </w:rPr>
      </w:pPr>
      <w:r w:rsidRPr="00180F20">
        <w:rPr>
          <w:i/>
          <w:lang w:val="en-US"/>
        </w:rPr>
        <w:t>Pregnancy</w:t>
      </w:r>
      <w:r w:rsidRPr="00180F20">
        <w:rPr>
          <w:lang w:val="en-US"/>
        </w:rPr>
        <w:t xml:space="preserve"> and lactation: the drug is contraindicated in pregnancy. If necessary, the use of the drug during lactation, it is necessary to decide on the termination of breastfeeding.</w:t>
      </w:r>
    </w:p>
    <w:p w:rsidR="00180F20" w:rsidRPr="00180F20" w:rsidRDefault="00180F20" w:rsidP="00180F20">
      <w:pPr>
        <w:rPr>
          <w:b/>
          <w:lang w:val="en-US"/>
        </w:rPr>
      </w:pPr>
      <w:r w:rsidRPr="00180F20">
        <w:rPr>
          <w:b/>
          <w:lang w:val="en-US"/>
        </w:rPr>
        <w:t>Dosage and administration</w:t>
      </w:r>
    </w:p>
    <w:p w:rsidR="00180F20" w:rsidRPr="00180F20" w:rsidRDefault="00180F20" w:rsidP="00180F20">
      <w:pPr>
        <w:rPr>
          <w:lang w:val="en-US"/>
        </w:rPr>
      </w:pPr>
      <w:r w:rsidRPr="00180F20">
        <w:rPr>
          <w:lang w:val="en-US"/>
        </w:rPr>
        <w:t xml:space="preserve">The drug is usually taken 1 tablet 1 -3 times a day. The maximum daily dose - 4 tablets. The drug should not be taken more than 5 days as an analgesic and more than 3 days as </w:t>
      </w:r>
      <w:proofErr w:type="gramStart"/>
      <w:r w:rsidRPr="00180F20">
        <w:rPr>
          <w:lang w:val="en-US"/>
        </w:rPr>
        <w:t>a</w:t>
      </w:r>
      <w:proofErr w:type="gramEnd"/>
      <w:r w:rsidRPr="00180F20">
        <w:rPr>
          <w:lang w:val="en-US"/>
        </w:rPr>
        <w:t xml:space="preserve"> antipyretic without a doctor's prescription.</w:t>
      </w:r>
    </w:p>
    <w:p w:rsidR="00180F20" w:rsidRPr="00180F20" w:rsidRDefault="00180F20" w:rsidP="00180F20">
      <w:pPr>
        <w:rPr>
          <w:b/>
          <w:lang w:val="en-US"/>
        </w:rPr>
      </w:pPr>
      <w:r w:rsidRPr="00180F20">
        <w:rPr>
          <w:b/>
          <w:lang w:val="en-US"/>
        </w:rPr>
        <w:t>Side effect</w:t>
      </w:r>
    </w:p>
    <w:p w:rsidR="00180F20" w:rsidRPr="00180F20" w:rsidRDefault="00180F20" w:rsidP="00180F20">
      <w:pPr>
        <w:rPr>
          <w:lang w:val="en-US"/>
        </w:rPr>
      </w:pPr>
      <w:r w:rsidRPr="00180F20">
        <w:rPr>
          <w:lang w:val="en-US"/>
        </w:rPr>
        <w:t xml:space="preserve">Possible dyspeptic disorders (nausea, vomiting, constipation), skin allergic reactions (rash, itching, </w:t>
      </w:r>
      <w:proofErr w:type="spellStart"/>
      <w:r w:rsidRPr="00180F20">
        <w:rPr>
          <w:lang w:val="en-US"/>
        </w:rPr>
        <w:t>urticaria</w:t>
      </w:r>
      <w:proofErr w:type="spellEnd"/>
      <w:r w:rsidRPr="00180F20">
        <w:rPr>
          <w:lang w:val="en-US"/>
        </w:rPr>
        <w:t xml:space="preserve">), epigastric pain, dizziness, drowsiness, heartbeat. Rarely-the oppression of hematopoiesis (leukopenia, </w:t>
      </w:r>
      <w:proofErr w:type="spellStart"/>
      <w:r w:rsidRPr="00180F20">
        <w:rPr>
          <w:lang w:val="en-US"/>
        </w:rPr>
        <w:t>granulocytopenia</w:t>
      </w:r>
      <w:proofErr w:type="spellEnd"/>
      <w:r w:rsidRPr="00180F20">
        <w:rPr>
          <w:lang w:val="en-US"/>
        </w:rPr>
        <w:t>, agranulocytosis). With long-term use in high doses may violate liver and kidney function.</w:t>
      </w:r>
    </w:p>
    <w:p w:rsidR="00180F20" w:rsidRPr="00180F20" w:rsidRDefault="00180F20" w:rsidP="00180F20">
      <w:pPr>
        <w:rPr>
          <w:b/>
          <w:lang w:val="en-US"/>
        </w:rPr>
      </w:pPr>
      <w:r w:rsidRPr="00180F20">
        <w:rPr>
          <w:b/>
          <w:lang w:val="en-US"/>
        </w:rPr>
        <w:t>Overdose</w:t>
      </w:r>
    </w:p>
    <w:p w:rsidR="00180F20" w:rsidRPr="00180F20" w:rsidRDefault="00180F20" w:rsidP="00180F20">
      <w:pPr>
        <w:rPr>
          <w:lang w:val="en-US"/>
        </w:rPr>
      </w:pPr>
      <w:r w:rsidRPr="00180F20">
        <w:rPr>
          <w:i/>
          <w:lang w:val="en-US"/>
        </w:rPr>
        <w:t>Symptoms</w:t>
      </w:r>
      <w:r w:rsidRPr="00180F20">
        <w:rPr>
          <w:lang w:val="en-US"/>
        </w:rPr>
        <w:t>: nausea, vomiting, stomach pain, tachycardia, cardiac arrhythmias, weakness, drowsiness, delirium, respiratory depression.</w:t>
      </w:r>
    </w:p>
    <w:p w:rsidR="00180F20" w:rsidRPr="00180F20" w:rsidRDefault="00180F20" w:rsidP="00180F20">
      <w:pPr>
        <w:rPr>
          <w:lang w:val="en-US"/>
        </w:rPr>
      </w:pPr>
      <w:r w:rsidRPr="00180F20">
        <w:rPr>
          <w:i/>
          <w:lang w:val="en-US"/>
        </w:rPr>
        <w:t>Treatment</w:t>
      </w:r>
      <w:r w:rsidRPr="00180F20">
        <w:rPr>
          <w:lang w:val="en-US"/>
        </w:rPr>
        <w:t>: induction of vomiting, gastric lavage, appointment of adsorbents (activated carbon), symptomatic therapy aimed at maintaining vital functions.</w:t>
      </w:r>
    </w:p>
    <w:p w:rsidR="00180F20" w:rsidRPr="00180F20" w:rsidRDefault="00180F20" w:rsidP="00180F20">
      <w:pPr>
        <w:rPr>
          <w:b/>
          <w:lang w:val="en-US"/>
        </w:rPr>
      </w:pPr>
      <w:r w:rsidRPr="00180F20">
        <w:rPr>
          <w:b/>
          <w:lang w:val="en-US"/>
        </w:rPr>
        <w:t>Interaction with other drugs</w:t>
      </w:r>
    </w:p>
    <w:p w:rsidR="00180F20" w:rsidRPr="00180F20" w:rsidRDefault="00180F20" w:rsidP="00180F20">
      <w:pPr>
        <w:rPr>
          <w:lang w:val="en-US"/>
        </w:rPr>
      </w:pPr>
      <w:r w:rsidRPr="00180F20">
        <w:rPr>
          <w:lang w:val="en-US"/>
        </w:rPr>
        <w:t xml:space="preserve">The simultaneous use of the drug with other non-narcotic analgesics can lead to increased toxic effects. Tricyclic antidepressants, contraceptives for oral administration, allopurinol increase the toxicity of sodium </w:t>
      </w:r>
      <w:proofErr w:type="spellStart"/>
      <w:r w:rsidRPr="00180F20">
        <w:rPr>
          <w:lang w:val="en-US"/>
        </w:rPr>
        <w:t>Metamizole</w:t>
      </w:r>
      <w:proofErr w:type="spellEnd"/>
      <w:r w:rsidRPr="00180F20">
        <w:rPr>
          <w:lang w:val="en-US"/>
        </w:rPr>
        <w:t xml:space="preserve"> (</w:t>
      </w:r>
      <w:proofErr w:type="spellStart"/>
      <w:r w:rsidRPr="00180F20">
        <w:rPr>
          <w:lang w:val="en-US"/>
        </w:rPr>
        <w:t>analgin</w:t>
      </w:r>
      <w:proofErr w:type="spellEnd"/>
      <w:r w:rsidRPr="00180F20">
        <w:rPr>
          <w:lang w:val="en-US"/>
        </w:rPr>
        <w:t xml:space="preserve">), which is part of the drug. Barbiturates, </w:t>
      </w:r>
      <w:proofErr w:type="spellStart"/>
      <w:r w:rsidRPr="00180F20">
        <w:rPr>
          <w:lang w:val="en-US"/>
        </w:rPr>
        <w:t>phenylbutazone</w:t>
      </w:r>
      <w:proofErr w:type="spellEnd"/>
      <w:r w:rsidRPr="00180F20">
        <w:rPr>
          <w:lang w:val="en-US"/>
        </w:rPr>
        <w:t xml:space="preserve"> and other inducers of microsomal liver enzymes weaken the action of sodium </w:t>
      </w:r>
      <w:proofErr w:type="spellStart"/>
      <w:r w:rsidRPr="00180F20">
        <w:rPr>
          <w:lang w:val="en-US"/>
        </w:rPr>
        <w:t>Metamizole</w:t>
      </w:r>
      <w:proofErr w:type="spellEnd"/>
      <w:r w:rsidRPr="00180F20">
        <w:rPr>
          <w:lang w:val="en-US"/>
        </w:rPr>
        <w:t xml:space="preserve"> (</w:t>
      </w:r>
      <w:proofErr w:type="spellStart"/>
      <w:r w:rsidRPr="00180F20">
        <w:rPr>
          <w:lang w:val="en-US"/>
        </w:rPr>
        <w:t>analgin</w:t>
      </w:r>
      <w:proofErr w:type="spellEnd"/>
      <w:r w:rsidRPr="00180F20">
        <w:rPr>
          <w:lang w:val="en-US"/>
        </w:rPr>
        <w:t xml:space="preserve">). Simultaneous use of sodium </w:t>
      </w:r>
      <w:proofErr w:type="spellStart"/>
      <w:r w:rsidRPr="00180F20">
        <w:rPr>
          <w:lang w:val="en-US"/>
        </w:rPr>
        <w:t>Metamizole</w:t>
      </w:r>
      <w:proofErr w:type="spellEnd"/>
      <w:r w:rsidRPr="00180F20">
        <w:rPr>
          <w:lang w:val="en-US"/>
        </w:rPr>
        <w:t xml:space="preserve"> (</w:t>
      </w:r>
      <w:proofErr w:type="spellStart"/>
      <w:r w:rsidRPr="00180F20">
        <w:rPr>
          <w:lang w:val="en-US"/>
        </w:rPr>
        <w:t>analgin</w:t>
      </w:r>
      <w:proofErr w:type="spellEnd"/>
      <w:r w:rsidRPr="00180F20">
        <w:rPr>
          <w:lang w:val="en-US"/>
        </w:rPr>
        <w:t>) with cyclosporine reduces the level of the latter in the blood. Sedatives and tranquilizers enhance the analgesic effect of the drug.</w:t>
      </w:r>
    </w:p>
    <w:p w:rsidR="00180F20" w:rsidRPr="00180F20" w:rsidRDefault="00180F20" w:rsidP="00180F20">
      <w:pPr>
        <w:rPr>
          <w:b/>
          <w:lang w:val="en-US"/>
        </w:rPr>
      </w:pPr>
      <w:r w:rsidRPr="00180F20">
        <w:rPr>
          <w:b/>
          <w:lang w:val="en-US"/>
        </w:rPr>
        <w:t>Special instruction</w:t>
      </w:r>
    </w:p>
    <w:p w:rsidR="00180F20" w:rsidRPr="00180F20" w:rsidRDefault="00180F20" w:rsidP="00180F20">
      <w:pPr>
        <w:rPr>
          <w:lang w:val="en-US"/>
        </w:rPr>
      </w:pPr>
      <w:r w:rsidRPr="00180F20">
        <w:rPr>
          <w:lang w:val="en-US"/>
        </w:rPr>
        <w:t>When using more than 5 days,</w:t>
      </w:r>
      <w:r w:rsidR="00BA4F78">
        <w:rPr>
          <w:lang w:val="en-US"/>
        </w:rPr>
        <w:t xml:space="preserve"> it is necessary to control the</w:t>
      </w:r>
      <w:r w:rsidRPr="00180F20">
        <w:rPr>
          <w:lang w:val="en-US"/>
        </w:rPr>
        <w:t xml:space="preserve"> peripheral blood and the functional state of the liver.      </w:t>
      </w:r>
    </w:p>
    <w:p w:rsidR="00180F20" w:rsidRPr="00180F20" w:rsidRDefault="00841508" w:rsidP="00841508">
      <w:pPr>
        <w:rPr>
          <w:lang w:val="en-US"/>
        </w:rPr>
      </w:pPr>
      <w:r>
        <w:rPr>
          <w:lang w:val="en-US"/>
        </w:rPr>
        <w:t>T</w:t>
      </w:r>
      <w:r w:rsidR="00180F20" w:rsidRPr="00180F20">
        <w:rPr>
          <w:lang w:val="en-US"/>
        </w:rPr>
        <w:t>he results of the analysi</w:t>
      </w:r>
      <w:r>
        <w:rPr>
          <w:lang w:val="en-US"/>
        </w:rPr>
        <w:t>s of doping control of athletes c</w:t>
      </w:r>
      <w:r w:rsidRPr="00180F20">
        <w:rPr>
          <w:lang w:val="en-US"/>
        </w:rPr>
        <w:t>an change</w:t>
      </w:r>
      <w:r>
        <w:rPr>
          <w:lang w:val="en-US"/>
        </w:rPr>
        <w:t>.</w:t>
      </w:r>
    </w:p>
    <w:p w:rsidR="00180F20" w:rsidRPr="00180F20" w:rsidRDefault="00180F20" w:rsidP="00180F20">
      <w:pPr>
        <w:rPr>
          <w:lang w:val="en-US"/>
        </w:rPr>
      </w:pPr>
      <w:r w:rsidRPr="00180F20">
        <w:rPr>
          <w:lang w:val="en-US"/>
        </w:rPr>
        <w:t>It complicates the diagnosis of acute abdominal pain syndrome.</w:t>
      </w:r>
    </w:p>
    <w:p w:rsidR="00180F20" w:rsidRPr="00180F20" w:rsidRDefault="00180F20" w:rsidP="00180F20">
      <w:pPr>
        <w:rPr>
          <w:lang w:val="en-US"/>
        </w:rPr>
      </w:pPr>
      <w:r w:rsidRPr="00180F20">
        <w:rPr>
          <w:lang w:val="en-US"/>
        </w:rPr>
        <w:t xml:space="preserve">Patients suffering from atonic asthma, </w:t>
      </w:r>
      <w:proofErr w:type="spellStart"/>
      <w:r w:rsidRPr="00180F20">
        <w:rPr>
          <w:lang w:val="en-US"/>
        </w:rPr>
        <w:t>pollinosis</w:t>
      </w:r>
      <w:proofErr w:type="spellEnd"/>
      <w:r w:rsidRPr="00180F20">
        <w:rPr>
          <w:lang w:val="en-US"/>
        </w:rPr>
        <w:t>, there is an increased risk of hypersensitivity reactions.</w:t>
      </w:r>
    </w:p>
    <w:p w:rsidR="00180F20" w:rsidRPr="00180F20" w:rsidRDefault="00180F20" w:rsidP="00180F20">
      <w:pPr>
        <w:rPr>
          <w:lang w:val="en-US"/>
        </w:rPr>
      </w:pPr>
      <w:r w:rsidRPr="00180F20">
        <w:rPr>
          <w:lang w:val="en-US"/>
        </w:rPr>
        <w:t>It is necessary to refrain from potentially dangerous activities that require increased attention and speed of psychomotor reactions.</w:t>
      </w:r>
    </w:p>
    <w:p w:rsidR="00180F20" w:rsidRPr="00BA4F78" w:rsidRDefault="00180F20" w:rsidP="00180F20">
      <w:pPr>
        <w:rPr>
          <w:b/>
          <w:lang w:val="en-US"/>
        </w:rPr>
      </w:pPr>
      <w:r w:rsidRPr="00BA4F78">
        <w:rPr>
          <w:b/>
          <w:lang w:val="en-US"/>
        </w:rPr>
        <w:t>Form release</w:t>
      </w:r>
    </w:p>
    <w:p w:rsidR="00180F20" w:rsidRPr="00180F20" w:rsidRDefault="00180F20" w:rsidP="00180F20">
      <w:pPr>
        <w:rPr>
          <w:lang w:val="en-US"/>
        </w:rPr>
      </w:pPr>
      <w:r w:rsidRPr="00180F20">
        <w:rPr>
          <w:lang w:val="en-US"/>
        </w:rPr>
        <w:t>10 tablets in a contour cell package.</w:t>
      </w:r>
    </w:p>
    <w:p w:rsidR="00180F20" w:rsidRPr="00180F20" w:rsidRDefault="00180F20" w:rsidP="00180F20">
      <w:pPr>
        <w:rPr>
          <w:lang w:val="en-US"/>
        </w:rPr>
      </w:pPr>
      <w:r w:rsidRPr="00180F20">
        <w:rPr>
          <w:lang w:val="en-US"/>
        </w:rPr>
        <w:lastRenderedPageBreak/>
        <w:t>1 or 2 contour cell packs with instructions for use in a carton pack.</w:t>
      </w:r>
    </w:p>
    <w:p w:rsidR="00BA4F78" w:rsidRDefault="00BA4F78" w:rsidP="00180F20">
      <w:pPr>
        <w:rPr>
          <w:b/>
          <w:lang w:val="en-US"/>
        </w:rPr>
      </w:pPr>
      <w:r>
        <w:rPr>
          <w:b/>
          <w:lang w:val="en-US"/>
        </w:rPr>
        <w:t>P</w:t>
      </w:r>
      <w:r w:rsidRPr="00BA4F78">
        <w:rPr>
          <w:b/>
          <w:lang w:val="en-US"/>
        </w:rPr>
        <w:t>eriod of validity</w:t>
      </w:r>
    </w:p>
    <w:p w:rsidR="00180F20" w:rsidRPr="00180F20" w:rsidRDefault="00180F20" w:rsidP="00180F20">
      <w:pPr>
        <w:rPr>
          <w:lang w:val="en-US"/>
        </w:rPr>
      </w:pPr>
      <w:r w:rsidRPr="00180F20">
        <w:rPr>
          <w:lang w:val="en-US"/>
        </w:rPr>
        <w:t>3 years. Do not use at the end of the period specified on the package.</w:t>
      </w:r>
    </w:p>
    <w:p w:rsidR="00180F20" w:rsidRPr="00BA4F78" w:rsidRDefault="00180F20" w:rsidP="00180F20">
      <w:pPr>
        <w:rPr>
          <w:b/>
          <w:lang w:val="en-US"/>
        </w:rPr>
      </w:pPr>
      <w:r w:rsidRPr="00BA4F78">
        <w:rPr>
          <w:b/>
          <w:lang w:val="en-US"/>
        </w:rPr>
        <w:t>Storage conditions</w:t>
      </w:r>
    </w:p>
    <w:p w:rsidR="00180F20" w:rsidRPr="00180F20" w:rsidRDefault="00180F20" w:rsidP="00180F20">
      <w:pPr>
        <w:rPr>
          <w:lang w:val="en-US"/>
        </w:rPr>
      </w:pPr>
      <w:r w:rsidRPr="00180F20">
        <w:rPr>
          <w:lang w:val="en-US"/>
        </w:rPr>
        <w:t>Store in a dry, protected glow at a temperature not higher than + 25°C and out of reach of children.</w:t>
      </w:r>
    </w:p>
    <w:p w:rsidR="00180F20" w:rsidRPr="00BA4F78" w:rsidRDefault="00180F20" w:rsidP="00180F20">
      <w:pPr>
        <w:rPr>
          <w:b/>
          <w:lang w:val="en-US"/>
        </w:rPr>
      </w:pPr>
      <w:r w:rsidRPr="00BA4F78">
        <w:rPr>
          <w:b/>
          <w:lang w:val="en-US"/>
        </w:rPr>
        <w:t>Pharmacy leave conditions</w:t>
      </w:r>
    </w:p>
    <w:p w:rsidR="00180F20" w:rsidRPr="00180F20" w:rsidRDefault="00180F20" w:rsidP="00180F20">
      <w:pPr>
        <w:rPr>
          <w:lang w:val="en-US"/>
        </w:rPr>
      </w:pPr>
      <w:r w:rsidRPr="00180F20">
        <w:rPr>
          <w:lang w:val="en-US"/>
        </w:rPr>
        <w:t>Without a prescription.</w:t>
      </w:r>
    </w:p>
    <w:p w:rsidR="00180F20" w:rsidRPr="00BA4F78" w:rsidRDefault="00180F20" w:rsidP="00180F20">
      <w:pPr>
        <w:rPr>
          <w:b/>
          <w:lang w:val="en-US"/>
        </w:rPr>
      </w:pPr>
      <w:r w:rsidRPr="00BA4F78">
        <w:rPr>
          <w:b/>
          <w:lang w:val="en-US"/>
        </w:rPr>
        <w:t>Manufacturer</w:t>
      </w:r>
      <w:bookmarkStart w:id="0" w:name="_GoBack"/>
      <w:bookmarkEnd w:id="0"/>
    </w:p>
    <w:p w:rsidR="00180F20" w:rsidRPr="00180F20" w:rsidRDefault="00180F20" w:rsidP="00180F20">
      <w:pPr>
        <w:rPr>
          <w:lang w:val="en-US"/>
        </w:rPr>
      </w:pPr>
      <w:r w:rsidRPr="00180F20">
        <w:rPr>
          <w:lang w:val="en-US"/>
        </w:rPr>
        <w:t>OJSC "</w:t>
      </w:r>
      <w:proofErr w:type="spellStart"/>
      <w:r w:rsidRPr="00180F20">
        <w:rPr>
          <w:lang w:val="en-US"/>
        </w:rPr>
        <w:t>Pharmstandard-Leksredstva</w:t>
      </w:r>
      <w:proofErr w:type="spellEnd"/>
      <w:r w:rsidRPr="00180F20">
        <w:rPr>
          <w:lang w:val="en-US"/>
        </w:rPr>
        <w:t>"</w:t>
      </w:r>
    </w:p>
    <w:p w:rsidR="001678A3" w:rsidRDefault="00180F20" w:rsidP="00180F20">
      <w:r w:rsidRPr="00180F20">
        <w:rPr>
          <w:lang w:val="en-US"/>
        </w:rPr>
        <w:t xml:space="preserve">305022, Russia, Kursk, street 2-I the Aggregate, 1A/18. </w:t>
      </w:r>
      <w:proofErr w:type="spellStart"/>
      <w:r>
        <w:t>Tel</w:t>
      </w:r>
      <w:proofErr w:type="spellEnd"/>
      <w:r>
        <w:t xml:space="preserve"> / </w:t>
      </w:r>
      <w:proofErr w:type="spellStart"/>
      <w:r>
        <w:t>Fax</w:t>
      </w:r>
      <w:proofErr w:type="spellEnd"/>
      <w:r>
        <w:t>: (4712) 34-03-13</w:t>
      </w:r>
    </w:p>
    <w:sectPr w:rsidR="001678A3">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Calibri Light">
    <w:panose1 w:val="020F0302020204030204"/>
    <w:charset w:val="CC"/>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34E"/>
    <w:rsid w:val="00180F20"/>
    <w:rsid w:val="005E0685"/>
    <w:rsid w:val="00841508"/>
    <w:rsid w:val="00963926"/>
    <w:rsid w:val="00BA4F78"/>
    <w:rsid w:val="00C3134E"/>
    <w:rsid w:val="00E6237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6B1B3D4"/>
  <w15:chartTrackingRefBased/>
  <w15:docId w15:val="{B55AFB50-BE54-4872-9B56-75B2DB64AE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4568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28</TotalTime>
  <Pages>3</Pages>
  <Words>775</Words>
  <Characters>4423</Characters>
  <Application>Microsoft Office Word</Application>
  <DocSecurity>0</DocSecurity>
  <Lines>36</Lines>
  <Paragraphs>10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5188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Гузелька</dc:creator>
  <cp:keywords/>
  <dc:description/>
  <cp:lastModifiedBy>Гузелька</cp:lastModifiedBy>
  <cp:revision>3</cp:revision>
  <dcterms:created xsi:type="dcterms:W3CDTF">2018-10-16T14:48:00Z</dcterms:created>
  <dcterms:modified xsi:type="dcterms:W3CDTF">2018-10-16T15:17:00Z</dcterms:modified>
</cp:coreProperties>
</file>